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64BE6">
      <w:pPr>
        <w:jc w:val="center"/>
        <w:rPr>
          <w:rFonts w:hint="eastAsia" w:ascii="微软雅黑" w:hAnsi="微软雅黑" w:eastAsia="微软雅黑"/>
          <w:b/>
          <w:sz w:val="40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40"/>
        </w:rPr>
        <w:t>采购风险保证金说明</w:t>
      </w:r>
    </w:p>
    <w:p w14:paraId="689A7052">
      <w:pPr>
        <w:jc w:val="center"/>
        <w:rPr>
          <w:rFonts w:hint="eastAsia" w:ascii="微软雅黑" w:hAnsi="微软雅黑" w:eastAsia="微软雅黑" w:cs="微软雅黑"/>
          <w:bCs/>
          <w:sz w:val="22"/>
          <w:szCs w:val="40"/>
        </w:rPr>
      </w:pPr>
      <w:r>
        <w:rPr>
          <w:rFonts w:hint="eastAsia" w:ascii="微软雅黑" w:hAnsi="微软雅黑" w:eastAsia="微软雅黑" w:cs="微软雅黑"/>
          <w:bCs/>
          <w:sz w:val="22"/>
          <w:szCs w:val="40"/>
        </w:rPr>
        <w:t>门店事业部-采购管理部</w:t>
      </w:r>
    </w:p>
    <w:p w14:paraId="07D3FBB8">
      <w:pPr>
        <w:spacing w:line="360" w:lineRule="auto"/>
        <w:rPr>
          <w:rFonts w:hint="eastAsia" w:ascii="微软雅黑" w:hAnsi="微软雅黑" w:eastAsia="微软雅黑" w:cs="微软雅黑"/>
          <w:b/>
          <w:bCs/>
        </w:rPr>
      </w:pPr>
      <w:r>
        <w:rPr>
          <w:rFonts w:ascii="微软雅黑" w:hAnsi="微软雅黑" w:eastAsia="微软雅黑" w:cs="微软雅黑"/>
          <w:b/>
          <w:b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215265</wp:posOffset>
                </wp:positionV>
                <wp:extent cx="5322570" cy="0"/>
                <wp:effectExtent l="0" t="9525" r="11430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2814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35pt;margin-top:16.95pt;height:0pt;width:419.1pt;z-index:251659264;mso-width-relative:page;mso-height-relative:page;" filled="f" stroked="t" coordsize="21600,21600" o:gfxdata="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HgqkGDYAAAA&#10;CAEAAA8AAAAAAAAAAQAgAAAAIgAAAGRycy9kb3ducmV2LnhtbFBLAQIUABQAAAAIAIdO4kCHdZ0m&#10;5AEAALIDAAAOAAAAAAAAAAEAIAAAACcBAABkcnMvZTJvRG9jLnhtbFBLBQYAAAAABgAGAFkBAAB9&#10;BQAAAAA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A6C73F8">
      <w:pPr>
        <w:widowControl/>
        <w:numPr>
          <w:ilvl w:val="0"/>
          <w:numId w:val="1"/>
        </w:numPr>
        <w:spacing w:before="240"/>
        <w:jc w:val="left"/>
        <w:rPr>
          <w:rFonts w:hint="eastAsia" w:ascii="微软雅黑" w:hAnsi="微软雅黑" w:eastAsia="微软雅黑" w:cs="Microsoft YaHei UI"/>
          <w:b/>
          <w:kern w:val="0"/>
          <w:sz w:val="28"/>
          <w:szCs w:val="28"/>
        </w:rPr>
      </w:pP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</w:rPr>
        <w:t>目的</w:t>
      </w:r>
    </w:p>
    <w:p w14:paraId="5DA9DECA">
      <w:pPr>
        <w:widowControl/>
        <w:spacing w:before="240"/>
        <w:ind w:left="210" w:leftChars="100" w:firstLine="480" w:firstLineChars="200"/>
        <w:jc w:val="left"/>
        <w:rPr>
          <w:rFonts w:hint="eastAsia" w:ascii="微软雅黑" w:hAnsi="微软雅黑" w:eastAsia="微软雅黑" w:cs="Microsoft YaHei UI"/>
          <w:kern w:val="0"/>
          <w:sz w:val="24"/>
          <w:szCs w:val="28"/>
        </w:rPr>
      </w:pPr>
      <w:r>
        <w:rPr>
          <w:rFonts w:hint="eastAsia" w:ascii="微软雅黑" w:hAnsi="微软雅黑" w:eastAsia="微软雅黑" w:cs="Microsoft YaHei UI"/>
          <w:kern w:val="0"/>
          <w:sz w:val="24"/>
          <w:szCs w:val="28"/>
        </w:rPr>
        <w:t>对出现一、二级检测失误的采购人员实行采购风险保证金机制，在因检测失误导致产生损失时，将从风险保证金中进行相应扣除，通过此制度督促采购人员在车源采购过程中更加认真负责。</w:t>
      </w:r>
    </w:p>
    <w:p w14:paraId="58D4C239">
      <w:pPr>
        <w:widowControl/>
        <w:numPr>
          <w:ilvl w:val="0"/>
          <w:numId w:val="1"/>
        </w:numPr>
        <w:spacing w:before="240"/>
        <w:jc w:val="left"/>
        <w:rPr>
          <w:rFonts w:hint="eastAsia" w:ascii="微软雅黑" w:hAnsi="微软雅黑" w:eastAsia="微软雅黑" w:cs="Microsoft YaHei UI"/>
          <w:b/>
          <w:kern w:val="0"/>
          <w:sz w:val="28"/>
          <w:szCs w:val="28"/>
        </w:rPr>
      </w:pP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</w:rPr>
        <w:t>保证金的充值、比例设置、提现</w:t>
      </w:r>
    </w:p>
    <w:p w14:paraId="752BF28D">
      <w:pPr>
        <w:widowControl/>
        <w:numPr>
          <w:ilvl w:val="0"/>
          <w:numId w:val="2"/>
        </w:numPr>
        <w:spacing w:before="240"/>
        <w:jc w:val="left"/>
        <w:rPr>
          <w:rFonts w:hint="eastAsia" w:ascii="微软雅黑" w:hAnsi="微软雅黑" w:eastAsia="微软雅黑" w:cs="Microsoft YaHei UI"/>
          <w:kern w:val="0"/>
          <w:sz w:val="24"/>
          <w:szCs w:val="28"/>
        </w:rPr>
      </w:pPr>
      <w:r>
        <w:rPr>
          <w:rFonts w:hint="eastAsia" w:ascii="微软雅黑" w:hAnsi="微软雅黑" w:eastAsia="微软雅黑" w:cs="Microsoft YaHei UI"/>
          <w:kern w:val="0"/>
          <w:sz w:val="24"/>
          <w:szCs w:val="28"/>
        </w:rPr>
        <w:t>当采购人员触及《车辆检测差异项分级》中的一二级差异时，采购管理部会对采购人员绑定对应保证金比例。采购人员需要通过小马达→我的保证金进行充值，充值金额为采购价格*保证金比例，如未充值，车辆未到店复检前采购人员无法申请采购付款。</w:t>
      </w:r>
    </w:p>
    <w:p w14:paraId="3204F001">
      <w:pPr>
        <w:widowControl/>
        <w:numPr>
          <w:ilvl w:val="0"/>
          <w:numId w:val="2"/>
        </w:numPr>
        <w:spacing w:before="240"/>
        <w:jc w:val="left"/>
        <w:rPr>
          <w:rFonts w:hint="eastAsia" w:ascii="微软雅黑" w:hAnsi="微软雅黑" w:eastAsia="微软雅黑" w:cs="Microsoft YaHei UI"/>
          <w:kern w:val="0"/>
          <w:sz w:val="24"/>
          <w:szCs w:val="28"/>
        </w:rPr>
      </w:pPr>
      <w:r>
        <w:rPr>
          <w:rFonts w:hint="eastAsia" w:ascii="微软雅黑" w:hAnsi="微软雅黑" w:eastAsia="微软雅黑" w:cs="Microsoft YaHei UI"/>
          <w:kern w:val="0"/>
          <w:sz w:val="24"/>
          <w:szCs w:val="28"/>
        </w:rPr>
        <w:t>采购人员产生差异的当天会绑定保证金，绑定周期为两个月。如出现一个一级失误，保证金绑定比例为5%，二级失误保证金绑定比例为1%，连续出现一二级失误，保证金比例累加。每次绑定的保证金比例，会在两个月后自动解除。</w:t>
      </w:r>
    </w:p>
    <w:p w14:paraId="50E8903C">
      <w:pPr>
        <w:widowControl/>
        <w:numPr>
          <w:ilvl w:val="0"/>
          <w:numId w:val="2"/>
        </w:numPr>
        <w:spacing w:before="240"/>
        <w:jc w:val="left"/>
        <w:rPr>
          <w:rFonts w:hint="eastAsia" w:ascii="微软雅黑" w:hAnsi="微软雅黑" w:eastAsia="微软雅黑" w:cs="Microsoft YaHei UI"/>
          <w:kern w:val="0"/>
          <w:sz w:val="24"/>
          <w:szCs w:val="28"/>
        </w:rPr>
      </w:pPr>
      <w:r>
        <w:rPr>
          <w:rFonts w:hint="eastAsia" w:ascii="微软雅黑" w:hAnsi="微软雅黑" w:eastAsia="微软雅黑" w:cs="Microsoft YaHei UI"/>
          <w:kern w:val="0"/>
          <w:sz w:val="24"/>
          <w:szCs w:val="28"/>
        </w:rPr>
        <w:t>保证金比例解除后，采购人员可以通过小马达→我的保证金进行提现。</w:t>
      </w:r>
    </w:p>
    <w:p w14:paraId="027815AF">
      <w:pPr>
        <w:widowControl/>
        <w:numPr>
          <w:ilvl w:val="0"/>
          <w:numId w:val="1"/>
        </w:numPr>
        <w:spacing w:before="240"/>
        <w:jc w:val="left"/>
        <w:rPr>
          <w:rFonts w:hint="eastAsia" w:ascii="微软雅黑" w:hAnsi="微软雅黑" w:eastAsia="微软雅黑" w:cs="Microsoft YaHei UI"/>
          <w:b/>
          <w:kern w:val="0"/>
          <w:sz w:val="28"/>
          <w:szCs w:val="28"/>
        </w:rPr>
      </w:pP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</w:rPr>
        <w:t>保证金的冻结和解冻</w:t>
      </w:r>
    </w:p>
    <w:p w14:paraId="53E47A58">
      <w:pPr>
        <w:widowControl/>
        <w:numPr>
          <w:ilvl w:val="0"/>
          <w:numId w:val="3"/>
        </w:numPr>
        <w:spacing w:before="240"/>
        <w:jc w:val="left"/>
        <w:rPr>
          <w:rFonts w:hint="eastAsia" w:ascii="微软雅黑" w:hAnsi="微软雅黑" w:eastAsia="微软雅黑" w:cs="Microsoft YaHei UI"/>
          <w:kern w:val="0"/>
          <w:sz w:val="24"/>
          <w:szCs w:val="28"/>
        </w:rPr>
      </w:pPr>
      <w:r>
        <w:rPr>
          <w:rFonts w:hint="eastAsia" w:ascii="微软雅黑" w:hAnsi="微软雅黑" w:eastAsia="微软雅黑" w:cs="Microsoft YaHei UI"/>
          <w:kern w:val="0"/>
          <w:sz w:val="24"/>
          <w:szCs w:val="28"/>
        </w:rPr>
        <w:t>采购人员在进行自采车源未复检前，付款申请时，系统需要冻结对应金额的风险保证金，当采购人员风险保证金余额不足时，无法提交采购付款申请。</w:t>
      </w:r>
    </w:p>
    <w:p w14:paraId="7F365C68">
      <w:pPr>
        <w:widowControl/>
        <w:numPr>
          <w:ilvl w:val="0"/>
          <w:numId w:val="3"/>
        </w:numPr>
        <w:spacing w:before="240"/>
        <w:jc w:val="left"/>
        <w:rPr>
          <w:rFonts w:hint="eastAsia" w:ascii="微软雅黑" w:hAnsi="微软雅黑" w:eastAsia="微软雅黑" w:cs="Microsoft YaHei UI"/>
          <w:kern w:val="0"/>
          <w:sz w:val="24"/>
          <w:szCs w:val="28"/>
        </w:rPr>
      </w:pPr>
      <w:r>
        <w:rPr>
          <w:rFonts w:hint="eastAsia" w:ascii="微软雅黑" w:hAnsi="微软雅黑" w:eastAsia="微软雅黑" w:cs="Microsoft YaHei UI"/>
          <w:kern w:val="0"/>
          <w:sz w:val="24"/>
          <w:szCs w:val="28"/>
        </w:rPr>
        <w:t>质检综合岗对车辆完成复检后，总部质检组进行质检结果确认，质检结果确认无问题时，风险保证金立即解冻；质检结果确认有问题时，等待最终检测差异损失明确后，操作完对应风险保证金扣除后解冻剩余部分，若当前冻结部分风险保证金不足以覆盖需要扣除的金额，会对未冻结部分风险保证金进行扣除。</w:t>
      </w:r>
    </w:p>
    <w:p w14:paraId="6383FBD6">
      <w:pPr>
        <w:widowControl/>
        <w:spacing w:before="240"/>
        <w:jc w:val="left"/>
        <w:rPr>
          <w:rFonts w:hint="eastAsia" w:ascii="微软雅黑" w:hAnsi="微软雅黑" w:eastAsia="微软雅黑" w:cs="Microsoft YaHei UI"/>
          <w:kern w:val="0"/>
          <w:sz w:val="24"/>
          <w:szCs w:val="28"/>
        </w:rPr>
      </w:pPr>
    </w:p>
    <w:p w14:paraId="59613CE6">
      <w:pPr>
        <w:widowControl/>
        <w:jc w:val="left"/>
        <w:rPr>
          <w:rFonts w:hint="eastAsia" w:ascii="微软雅黑" w:hAnsi="微软雅黑" w:eastAsia="微软雅黑" w:cs="Microsoft YaHei UI"/>
          <w:b/>
          <w:kern w:val="0"/>
          <w:sz w:val="28"/>
          <w:szCs w:val="28"/>
          <w:lang w:val="zh-CN"/>
        </w:rPr>
      </w:pPr>
      <w:r>
        <w:rPr>
          <w:rFonts w:ascii="微软雅黑" w:hAnsi="微软雅黑" w:eastAsia="微软雅黑" w:cs="Microsoft YaHei UI"/>
          <w:b/>
          <w:kern w:val="0"/>
          <w:sz w:val="28"/>
          <w:szCs w:val="28"/>
          <w:lang w:val="zh-CN"/>
        </w:rPr>
        <w:t>以上</w:t>
      </w: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  <w:lang w:val="zh-CN"/>
        </w:rPr>
        <w:t>规范请各门店严格执行，本规范发布后于</w:t>
      </w:r>
      <w:r>
        <w:rPr>
          <w:rFonts w:ascii="微软雅黑" w:hAnsi="微软雅黑" w:eastAsia="微软雅黑" w:cs="Microsoft YaHei UI"/>
          <w:b/>
          <w:kern w:val="0"/>
          <w:sz w:val="28"/>
          <w:szCs w:val="28"/>
          <w:lang w:val="zh-CN"/>
        </w:rPr>
        <w:t>202</w:t>
      </w: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</w:rPr>
        <w:t>5</w:t>
      </w: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  <w:lang w:val="zh-CN"/>
        </w:rPr>
        <w:t>年</w:t>
      </w: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</w:rPr>
        <w:t>11</w:t>
      </w: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  <w:lang w:val="zh-CN"/>
        </w:rPr>
        <w:t>月</w:t>
      </w: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</w:rPr>
        <w:t>14</w:t>
      </w:r>
      <w:r>
        <w:rPr>
          <w:rFonts w:hint="eastAsia" w:ascii="微软雅黑" w:hAnsi="微软雅黑" w:eastAsia="微软雅黑" w:cs="Microsoft YaHei UI"/>
          <w:b/>
          <w:kern w:val="0"/>
          <w:sz w:val="28"/>
          <w:szCs w:val="28"/>
          <w:lang w:val="zh-CN"/>
        </w:rPr>
        <w:t>日，正式生效！</w:t>
      </w:r>
    </w:p>
    <w:p w14:paraId="026A1C93">
      <w:pPr>
        <w:widowControl/>
        <w:jc w:val="left"/>
        <w:rPr>
          <w:rFonts w:hint="eastAsia" w:ascii="微软雅黑" w:hAnsi="微软雅黑" w:eastAsia="微软雅黑" w:cs="Microsoft YaHei UI"/>
          <w:kern w:val="0"/>
          <w:sz w:val="28"/>
          <w:szCs w:val="28"/>
          <w:lang w:val="zh-CN"/>
        </w:rPr>
      </w:pPr>
    </w:p>
    <w:p w14:paraId="3BD6DEC9">
      <w:pPr>
        <w:widowControl/>
        <w:jc w:val="left"/>
        <w:rPr>
          <w:rFonts w:hint="eastAsia" w:ascii="微软雅黑" w:hAnsi="微软雅黑" w:eastAsia="微软雅黑" w:cs="Microsoft YaHei UI"/>
          <w:kern w:val="0"/>
          <w:sz w:val="28"/>
          <w:szCs w:val="28"/>
          <w:lang w:val="zh-CN"/>
        </w:rPr>
      </w:pPr>
    </w:p>
    <w:p w14:paraId="3D2DA561">
      <w:pPr>
        <w:widowControl/>
        <w:jc w:val="right"/>
        <w:rPr>
          <w:rFonts w:hint="eastAsia" w:ascii="微软雅黑" w:hAnsi="微软雅黑" w:eastAsia="微软雅黑" w:cs="微软雅黑"/>
          <w:bCs/>
          <w:sz w:val="24"/>
          <w:szCs w:val="21"/>
        </w:rPr>
      </w:pPr>
      <w:r>
        <w:rPr>
          <w:rFonts w:hint="eastAsia" w:ascii="微软雅黑" w:hAnsi="微软雅黑" w:eastAsia="微软雅黑" w:cs="微软雅黑"/>
          <w:bCs/>
          <w:sz w:val="24"/>
          <w:szCs w:val="21"/>
        </w:rPr>
        <w:t xml:space="preserve"> </w:t>
      </w:r>
    </w:p>
    <w:p w14:paraId="1B2E5B59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EB9FD4">
    <w:pPr>
      <w:pStyle w:val="2"/>
      <w:jc w:val="center"/>
    </w:pPr>
    <w:r>
      <w:rPr>
        <w:rFonts w:hint="eastAsia"/>
      </w:rPr>
      <w:t xml:space="preserve">北京市朝阳区利泽西街6号院2号楼东湖国际中心B座9层 </w:t>
    </w:r>
    <w:r>
      <w:t xml:space="preserve"> http://www.taocheche.com</w:t>
    </w:r>
  </w:p>
  <w:p w14:paraId="705F6766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67018">
    <w:pPr>
      <w:pStyle w:val="3"/>
      <w:jc w:val="left"/>
    </w:pPr>
    <w:r>
      <w:drawing>
        <wp:inline distT="0" distB="0" distL="0" distR="0">
          <wp:extent cx="1000125" cy="369570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369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2A56E"/>
    <w:multiLevelType w:val="singleLevel"/>
    <w:tmpl w:val="0052A56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E2BB7D5"/>
    <w:multiLevelType w:val="singleLevel"/>
    <w:tmpl w:val="2E2BB7D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3CDF73A"/>
    <w:multiLevelType w:val="singleLevel"/>
    <w:tmpl w:val="53CDF7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E1ZTVjNTNlMzdiNWJiMTQ3MzkxY2E5MWM4ZWY5NGYifQ=="/>
  </w:docVars>
  <w:rsids>
    <w:rsidRoot w:val="49937197"/>
    <w:rsid w:val="000825F1"/>
    <w:rsid w:val="0021762C"/>
    <w:rsid w:val="0037319E"/>
    <w:rsid w:val="003C0AEE"/>
    <w:rsid w:val="003E5469"/>
    <w:rsid w:val="00411B2E"/>
    <w:rsid w:val="004F3180"/>
    <w:rsid w:val="0052170A"/>
    <w:rsid w:val="00543374"/>
    <w:rsid w:val="005E7BD3"/>
    <w:rsid w:val="006278BD"/>
    <w:rsid w:val="007C7653"/>
    <w:rsid w:val="007E574C"/>
    <w:rsid w:val="00845901"/>
    <w:rsid w:val="008D1645"/>
    <w:rsid w:val="009031EE"/>
    <w:rsid w:val="00924E5E"/>
    <w:rsid w:val="009B5787"/>
    <w:rsid w:val="009C22C9"/>
    <w:rsid w:val="009C3DEB"/>
    <w:rsid w:val="00A0713A"/>
    <w:rsid w:val="00AF0E3C"/>
    <w:rsid w:val="00AF3943"/>
    <w:rsid w:val="00B02FC0"/>
    <w:rsid w:val="00B506B5"/>
    <w:rsid w:val="00B50A97"/>
    <w:rsid w:val="00B754BF"/>
    <w:rsid w:val="00CA4C52"/>
    <w:rsid w:val="00E50E64"/>
    <w:rsid w:val="00ED37FC"/>
    <w:rsid w:val="00F8751A"/>
    <w:rsid w:val="378659E8"/>
    <w:rsid w:val="49937197"/>
    <w:rsid w:val="49AA4731"/>
    <w:rsid w:val="54B93DFB"/>
    <w:rsid w:val="5B411EB7"/>
    <w:rsid w:val="616C2E43"/>
    <w:rsid w:val="6252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606</Words>
  <Characters>613</Characters>
  <Lines>16</Lines>
  <Paragraphs>12</Paragraphs>
  <TotalTime>167</TotalTime>
  <ScaleCrop>false</ScaleCrop>
  <LinksUpToDate>false</LinksUpToDate>
  <CharactersWithSpaces>614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2025-11-14T07:59:00Z</dcterms:created>
  <dc:creator>无巧不成叔</dc:creator>
  <cp:lastModifiedBy>闫不碎</cp:lastModifiedBy>
  <cp:lastPrinted>2025-11-14T09:01:00Z</cp:lastPrinted>
  <dcterms:modified xsi:type="dcterms:W3CDTF">2026-04-01T08:43:27Z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522AB187E58949B899755619643B160A_13</vt:lpwstr>
  </property>
</Properties>
</file>