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A9CC9">
      <w:pPr>
        <w:pStyle w:val="7"/>
        <w:spacing w:line="400" w:lineRule="exact"/>
        <w:ind w:firstLine="2401" w:firstLineChars="600"/>
        <w:jc w:val="both"/>
        <w:rPr>
          <w:rFonts w:hint="default" w:ascii="微软雅黑" w:hAnsi="微软雅黑" w:eastAsia="微软雅黑"/>
          <w:sz w:val="40"/>
          <w:szCs w:val="44"/>
          <w:lang w:val="en-US" w:eastAsia="zh-CN"/>
        </w:rPr>
      </w:pPr>
      <w:r>
        <w:rPr>
          <w:rFonts w:hint="eastAsia" w:ascii="微软雅黑" w:hAnsi="微软雅黑" w:eastAsia="微软雅黑"/>
          <w:sz w:val="40"/>
          <w:szCs w:val="44"/>
          <w:lang w:val="en-US" w:eastAsia="zh-CN"/>
        </w:rPr>
        <w:t>抵押车采购管理机制</w:t>
      </w:r>
    </w:p>
    <w:p w14:paraId="04206CBE">
      <w:pPr>
        <w:spacing w:line="120" w:lineRule="auto"/>
        <w:ind w:firstLine="3080" w:firstLineChars="1400"/>
        <w:jc w:val="both"/>
        <w:rPr>
          <w:rFonts w:ascii="微软雅黑" w:hAnsi="微软雅黑" w:eastAsia="微软雅黑" w:cs="微软雅黑"/>
          <w:bCs/>
          <w:sz w:val="22"/>
          <w:szCs w:val="40"/>
        </w:rPr>
      </w:pPr>
      <w:r>
        <w:rPr>
          <w:rFonts w:hint="eastAsia" w:ascii="微软雅黑" w:hAnsi="微软雅黑" w:eastAsia="微软雅黑" w:cs="微软雅黑"/>
          <w:bCs/>
          <w:sz w:val="22"/>
          <w:szCs w:val="40"/>
        </w:rPr>
        <w:t>门店事业部-采购管理部</w:t>
      </w:r>
    </w:p>
    <w:p w14:paraId="1EC874FB">
      <w:pPr>
        <w:spacing w:line="120" w:lineRule="auto"/>
        <w:rPr>
          <w:rFonts w:ascii="微软雅黑" w:hAnsi="微软雅黑" w:eastAsia="微软雅黑" w:cs="微软雅黑"/>
          <w:b/>
          <w:bCs/>
        </w:rPr>
      </w:pPr>
      <w:r>
        <w:rPr>
          <w:rFonts w:ascii="微软雅黑" w:hAnsi="微软雅黑" w:eastAsia="微软雅黑" w:cs="微软雅黑"/>
          <w:b/>
          <w:bCs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215265</wp:posOffset>
                </wp:positionV>
                <wp:extent cx="532257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22814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.35pt;margin-top:16.95pt;height:0pt;width:419.1pt;z-index:251660288;mso-width-relative:page;mso-height-relative:page;" filled="f" stroked="t" coordsize="21600,21600" o:gfxdata="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HgqkGDYAAAA&#10;CAEAAA8AAAAAAAAAAQAgAAAAIgAAAGRycy9kb3ducmV2LnhtbFBLAQIUABQAAAAIAIdO4kCHdZ0m&#10;5AEAALIDAAAOAAAAAAAAAAEAIAAAACcBAABkcnMvZTJvRG9jLnhtbFBLBQYAAAAABgAGAFkBAAB9&#10;BQAAAAA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27EE2E4C">
      <w:pPr>
        <w:pStyle w:val="2"/>
        <w:spacing w:line="40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一、目的：</w:t>
      </w:r>
    </w:p>
    <w:p w14:paraId="228948DC"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 w:bidi="ar"/>
        </w:rPr>
        <w:t>为了进一步规范抵押车采购业务流程，规避抵押车采购风险，采购管理部对抵押车采购业务制定以下机制。</w:t>
      </w:r>
    </w:p>
    <w:p w14:paraId="57BEA3C2">
      <w:pPr>
        <w:pStyle w:val="2"/>
        <w:spacing w:line="40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二、适用范围：</w:t>
      </w:r>
    </w:p>
    <w:p w14:paraId="48FBD3BC">
      <w:pPr>
        <w:spacing w:line="400" w:lineRule="exact"/>
        <w:rPr>
          <w:rFonts w:hint="default" w:ascii="微软雅黑" w:hAnsi="微软雅黑" w:eastAsia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淘车车门店抵押车辆采购业务场景</w:t>
      </w:r>
    </w:p>
    <w:p w14:paraId="3514EBD7">
      <w:pPr>
        <w:pStyle w:val="2"/>
        <w:spacing w:line="40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三、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抵押车采购付款相关规则</w:t>
      </w:r>
      <w:r>
        <w:rPr>
          <w:rFonts w:hint="eastAsia" w:ascii="微软雅黑" w:hAnsi="微软雅黑" w:eastAsia="微软雅黑"/>
          <w:sz w:val="28"/>
          <w:szCs w:val="28"/>
        </w:rPr>
        <w:t>：</w:t>
      </w:r>
    </w:p>
    <w:p w14:paraId="625C0350">
      <w:pPr>
        <w:pStyle w:val="3"/>
        <w:spacing w:line="40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抵押车贷款资料收集</w:t>
      </w:r>
      <w:r>
        <w:rPr>
          <w:rFonts w:ascii="微软雅黑" w:hAnsi="微软雅黑" w:eastAsia="微软雅黑"/>
          <w:sz w:val="28"/>
          <w:szCs w:val="28"/>
        </w:rPr>
        <w:t>：</w:t>
      </w:r>
    </w:p>
    <w:p w14:paraId="43A6C4F1">
      <w:pPr>
        <w:spacing w:line="360" w:lineRule="auto"/>
        <w:rPr>
          <w:rFonts w:hint="eastAsia" w:ascii="微软雅黑" w:hAnsi="微软雅黑" w:eastAsia="微软雅黑"/>
          <w:color w:val="000000" w:themeColor="text1"/>
          <w:sz w:val="22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1、贷款人信息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2、贷款车辆信息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3、贷款金额及还款信息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以上三条车辆贷款相关信息同时收集体现并上传付款系统，如是信用卡贷款可免除车辆信息收集</w:t>
      </w:r>
    </w:p>
    <w:p w14:paraId="4DFF8C9A">
      <w:pPr>
        <w:pStyle w:val="3"/>
        <w:spacing w:line="400" w:lineRule="exact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抵押车采购付款规则</w:t>
      </w:r>
      <w:r>
        <w:rPr>
          <w:rFonts w:ascii="微软雅黑" w:hAnsi="微软雅黑" w:eastAsia="微软雅黑"/>
          <w:sz w:val="28"/>
          <w:szCs w:val="28"/>
        </w:rPr>
        <w:t>：</w:t>
      </w:r>
    </w:p>
    <w:p w14:paraId="15BC6D92">
      <w:pPr>
        <w:spacing w:line="360" w:lineRule="auto"/>
        <w:rPr>
          <w:rFonts w:hint="default" w:ascii="微软雅黑" w:hAnsi="微软雅黑" w:eastAsia="微软雅黑"/>
          <w:color w:val="000000" w:themeColor="text1"/>
          <w:sz w:val="22"/>
          <w:highlight w:val="yellow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sz w:val="24"/>
          <w:szCs w:val="24"/>
        </w:rPr>
        <w:t>1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、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约定现场还款或店长代收代还款</w:t>
      </w:r>
      <w:r>
        <w:rPr>
          <w:rFonts w:hint="eastAsia" w:ascii="微软雅黑" w:hAnsi="微软雅黑" w:eastAsia="微软雅黑"/>
          <w:sz w:val="28"/>
          <w:szCs w:val="28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如首付款金额小于等于采购价的50%，采购订单的审批节点到店长结束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如首付款金额大于采购价的50%，采购订单的审批节点到采购总监结束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2、约定其他日期还款（非现场还款或非店长代收代还）</w:t>
      </w:r>
      <w:r>
        <w:rPr>
          <w:rFonts w:hint="eastAsia" w:ascii="微软雅黑" w:hAnsi="微软雅黑" w:eastAsia="微软雅黑"/>
          <w:sz w:val="24"/>
          <w:szCs w:val="24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如首付款金额+欠款金额小于等于采购价格，且首付款金额小于等于采购价的50%，采购订单的审批节点到店长结束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t>如首付款金额+欠款金额大于采购价格，且首付款金额大于采购价的50%，采购订单的审批节点到采购总监（非特殊情况会驳回）</w:t>
      </w: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  <w:r>
        <w:rPr>
          <w:rFonts w:hint="eastAsia" w:ascii="微软雅黑" w:hAnsi="微软雅黑" w:eastAsia="微软雅黑"/>
          <w:b/>
          <w:bCs/>
          <w:sz w:val="28"/>
          <w:szCs w:val="28"/>
          <w:highlight w:val="yellow"/>
          <w:lang w:val="en-US" w:eastAsia="zh-CN"/>
        </w:rPr>
        <w:t>抵押车采购付款熔断规则</w:t>
      </w:r>
      <w:r>
        <w:rPr>
          <w:rFonts w:ascii="微软雅黑" w:hAnsi="微软雅黑" w:eastAsia="微软雅黑"/>
          <w:b/>
          <w:bCs/>
          <w:sz w:val="28"/>
          <w:szCs w:val="28"/>
          <w:highlight w:val="yellow"/>
        </w:rPr>
        <w:t>：</w:t>
      </w:r>
      <w:r>
        <w:rPr>
          <w:rFonts w:ascii="微软雅黑" w:hAnsi="微软雅黑" w:eastAsia="微软雅黑"/>
          <w:b/>
          <w:bCs/>
          <w:sz w:val="28"/>
          <w:szCs w:val="28"/>
        </w:rPr>
        <w:br w:type="textWrapping"/>
      </w:r>
      <w:r>
        <w:rPr>
          <w:rFonts w:hint="eastAsia" w:ascii="微软雅黑" w:hAnsi="微软雅黑" w:eastAsia="微软雅黑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微软雅黑" w:hAnsi="微软雅黑" w:eastAsia="微软雅黑"/>
          <w:b w:val="0"/>
          <w:bCs w:val="0"/>
          <w:sz w:val="24"/>
          <w:szCs w:val="24"/>
          <w:lang w:val="en-US" w:eastAsia="zh-CN"/>
        </w:rPr>
        <w:t>如门店当前存在超期未解押预警车辆，且解押超期10天以上，门店之后采购抵押车首付款比例减少10%，具体是：存在一台超期未解押减少10%、两台减少20%、三台停止抵押车采购，等超期车源解押完成后恢复正常首付款比例。</w:t>
      </w:r>
    </w:p>
    <w:p w14:paraId="7F7B0507">
      <w:pPr>
        <w:rPr>
          <w:rFonts w:hint="eastAsia" w:ascii="微软雅黑" w:hAnsi="微软雅黑" w:eastAsia="微软雅黑" w:cs="Microsoft YaHei UI"/>
          <w:kern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sz w:val="24"/>
          <w:szCs w:val="24"/>
          <w:lang w:val="en-US" w:eastAsia="zh-CN"/>
        </w:rPr>
        <w:br w:type="textWrapping"/>
      </w:r>
    </w:p>
    <w:p w14:paraId="35BFD4C0">
      <w:pPr>
        <w:rPr>
          <w:rFonts w:hint="eastAsia" w:ascii="微软雅黑" w:hAnsi="微软雅黑" w:eastAsia="微软雅黑" w:cs="Microsoft YaHei UI"/>
          <w:kern w:val="0"/>
          <w:sz w:val="28"/>
          <w:szCs w:val="28"/>
          <w:lang w:val="en-US" w:eastAsia="zh-CN"/>
        </w:rPr>
      </w:pPr>
    </w:p>
    <w:p w14:paraId="131182B9">
      <w:pPr>
        <w:rPr>
          <w:rFonts w:hint="eastAsia" w:ascii="微软雅黑" w:hAnsi="微软雅黑" w:eastAsia="微软雅黑" w:cs="Microsoft YaHei UI"/>
          <w:kern w:val="0"/>
          <w:sz w:val="28"/>
          <w:szCs w:val="28"/>
          <w:lang w:val="en-US" w:eastAsia="zh-CN"/>
        </w:rPr>
      </w:pPr>
    </w:p>
    <w:p w14:paraId="4E545ABD">
      <w:pPr>
        <w:rPr>
          <w:rFonts w:hint="eastAsia" w:ascii="微软雅黑" w:hAnsi="微软雅黑" w:eastAsia="微软雅黑" w:cs="Microsoft YaHei UI"/>
          <w:kern w:val="0"/>
          <w:sz w:val="28"/>
          <w:szCs w:val="28"/>
          <w:lang w:val="en-US" w:eastAsia="zh-CN"/>
        </w:rPr>
      </w:pPr>
    </w:p>
    <w:p w14:paraId="55A652DF">
      <w:pPr>
        <w:spacing w:line="400" w:lineRule="exact"/>
        <w:rPr>
          <w:rFonts w:hint="eastAsia" w:ascii="微软雅黑" w:hAnsi="微软雅黑" w:eastAsia="微软雅黑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FF0000"/>
          <w:sz w:val="22"/>
          <w:szCs w:val="22"/>
        </w:rPr>
        <w:t>注释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：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其他项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特殊情况由采购管理部视具体情况，给与定义</w:t>
      </w:r>
      <w:r>
        <w:rPr>
          <w:rFonts w:ascii="微软雅黑" w:hAnsi="微软雅黑" w:eastAsia="微软雅黑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86F6B8A">
      <w:pPr>
        <w:spacing w:line="400" w:lineRule="exact"/>
        <w:rPr>
          <w:rFonts w:ascii="微软雅黑" w:hAnsi="微软雅黑" w:eastAsia="微软雅黑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06EF9392">
      <w:pPr>
        <w:pStyle w:val="16"/>
        <w:ind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以上</w:t>
      </w:r>
      <w:r>
        <w:rPr>
          <w:rFonts w:hint="eastAsia"/>
          <w:b/>
          <w:bCs/>
          <w:sz w:val="28"/>
          <w:szCs w:val="28"/>
          <w:lang w:val="en-US" w:eastAsia="zh-CN"/>
        </w:rPr>
        <w:t>抵押车采购管理机制</w:t>
      </w:r>
      <w:r>
        <w:rPr>
          <w:rFonts w:hint="eastAsia"/>
          <w:b/>
          <w:bCs/>
          <w:sz w:val="28"/>
          <w:szCs w:val="28"/>
        </w:rPr>
        <w:t>请各门店严格执行，自发布之日起</w:t>
      </w:r>
      <w:r>
        <w:rPr>
          <w:b/>
          <w:bCs/>
          <w:sz w:val="28"/>
          <w:szCs w:val="28"/>
        </w:rPr>
        <w:t>202</w:t>
      </w:r>
      <w:r>
        <w:rPr>
          <w:rFonts w:hint="eastAsia"/>
          <w:b/>
          <w:bCs/>
          <w:sz w:val="28"/>
          <w:szCs w:val="28"/>
          <w:lang w:val="en-US" w:eastAsia="zh-CN"/>
        </w:rPr>
        <w:t>5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  <w:lang w:val="en-US" w:eastAsia="zh-CN"/>
        </w:rPr>
        <w:t>6</w:t>
      </w:r>
      <w:r>
        <w:rPr>
          <w:rFonts w:hint="eastAsia"/>
          <w:b/>
          <w:bCs/>
          <w:sz w:val="28"/>
          <w:szCs w:val="28"/>
        </w:rPr>
        <w:t>月1日，正式生效！</w:t>
      </w:r>
      <w:r>
        <w:rPr>
          <w:b/>
          <w:bCs/>
          <w:sz w:val="28"/>
          <w:szCs w:val="28"/>
        </w:rPr>
        <w:t xml:space="preserve"> </w:t>
      </w:r>
    </w:p>
    <w:p w14:paraId="17BFDCF2">
      <w:pPr>
        <w:spacing w:line="400" w:lineRule="exact"/>
        <w:ind w:firstLine="4140" w:firstLineChars="1800"/>
        <w:rPr>
          <w:sz w:val="23"/>
          <w:szCs w:val="23"/>
        </w:rPr>
      </w:pPr>
    </w:p>
    <w:p w14:paraId="3B207994">
      <w:pPr>
        <w:spacing w:line="400" w:lineRule="exact"/>
        <w:ind w:firstLine="4140" w:firstLineChars="1800"/>
        <w:rPr>
          <w:sz w:val="23"/>
          <w:szCs w:val="23"/>
        </w:rPr>
      </w:pPr>
    </w:p>
    <w:p w14:paraId="5269A1C4">
      <w:pPr>
        <w:spacing w:line="400" w:lineRule="exact"/>
        <w:ind w:firstLine="5720" w:firstLineChars="2600"/>
        <w:rPr>
          <w:rFonts w:ascii="微软雅黑" w:hAnsi="微软雅黑" w:eastAsia="微软雅黑"/>
          <w:b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hAnsi="微软雅黑" w:eastAsia="微软雅黑"/>
          <w:sz w:val="22"/>
        </w:rPr>
        <w:t>202</w:t>
      </w:r>
      <w:r>
        <w:rPr>
          <w:rFonts w:hint="eastAsia" w:ascii="微软雅黑" w:hAnsi="微软雅黑" w:eastAsia="微软雅黑"/>
          <w:sz w:val="22"/>
          <w:lang w:val="en-US" w:eastAsia="zh-CN"/>
        </w:rPr>
        <w:t>5</w:t>
      </w:r>
      <w:r>
        <w:rPr>
          <w:rFonts w:hint="eastAsia" w:ascii="微软雅黑" w:hAnsi="微软雅黑" w:eastAsia="微软雅黑"/>
          <w:sz w:val="22"/>
        </w:rPr>
        <w:t>年</w:t>
      </w:r>
      <w:r>
        <w:rPr>
          <w:rFonts w:hint="eastAsia" w:ascii="微软雅黑" w:hAnsi="微软雅黑" w:eastAsia="微软雅黑"/>
          <w:sz w:val="22"/>
          <w:lang w:val="en-US" w:eastAsia="zh-CN"/>
        </w:rPr>
        <w:t>6</w:t>
      </w:r>
      <w:r>
        <w:rPr>
          <w:rFonts w:hint="eastAsia" w:ascii="微软雅黑" w:hAnsi="微软雅黑" w:eastAsia="微软雅黑"/>
          <w:sz w:val="22"/>
        </w:rPr>
        <w:t>月1日</w:t>
      </w:r>
    </w:p>
    <w:p w14:paraId="6067C6CF">
      <w:pPr>
        <w:rPr>
          <w:rFonts w:hint="eastAsia" w:ascii="微软雅黑" w:hAnsi="微软雅黑" w:eastAsia="微软雅黑" w:cs="Microsoft YaHei UI"/>
          <w:kern w:val="0"/>
          <w:sz w:val="28"/>
          <w:szCs w:val="28"/>
          <w:lang w:val="en-US" w:eastAsia="zh-CN"/>
        </w:rPr>
      </w:pPr>
    </w:p>
    <w:p w14:paraId="304D4F95">
      <w:pPr>
        <w:jc w:val="right"/>
        <w:rPr>
          <w:rFonts w:ascii="微软雅黑" w:hAnsi="微软雅黑" w:eastAsia="微软雅黑" w:cs="微软雅黑"/>
          <w:bCs/>
          <w:sz w:val="24"/>
          <w:szCs w:val="21"/>
        </w:rPr>
      </w:pPr>
      <w:r>
        <w:rPr>
          <w:rFonts w:hint="eastAsia" w:ascii="微软雅黑" w:hAnsi="微软雅黑" w:eastAsia="微软雅黑" w:cs="微软雅黑"/>
          <w:bCs/>
          <w:sz w:val="24"/>
          <w:szCs w:val="21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9B0450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D8ADDA">
    <w:pPr>
      <w:pStyle w:val="6"/>
      <w:jc w:val="left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-1757680</wp:posOffset>
              </wp:positionH>
              <wp:positionV relativeFrom="paragraph">
                <wp:posOffset>-519430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53911D">
                          <w:pPr>
                            <w:pStyle w:val="6"/>
                            <w:jc w:val="both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138.4pt;margin-top:-40.9pt;height:144pt;width:144pt;mso-position-horizontal-relative:margin;mso-wrap-style:none;z-index:251660288;mso-width-relative:page;mso-height-relative:page;" filled="f" stroked="f" coordsize="21600,21600" o:gfxdata="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PT95u9cAAAALAQAADwAAAAAAAAABACAAAAAiAAAAZHJzL2Rvd25yZXYueG1s&#10;UEsBAhQAFAAAAAgAh07iQH+OrREyAgAAYQ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53911D">
                    <w:pPr>
                      <w:pStyle w:val="6"/>
                      <w:jc w:val="both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187450" cy="351155"/>
          <wp:effectExtent l="0" t="0" r="0" b="11430"/>
          <wp:docPr id="4" name="图片 2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2" descr="IMG_25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450" cy="35115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DC98B9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DC98B9"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E1ZTVjNTNlMzdiNWJiMTQ3MzkxY2E5MWM4ZWY5NGYifQ=="/>
  </w:docVars>
  <w:rsids>
    <w:rsidRoot w:val="00C36AFC"/>
    <w:rsid w:val="00000837"/>
    <w:rsid w:val="00055AF2"/>
    <w:rsid w:val="00082787"/>
    <w:rsid w:val="00091204"/>
    <w:rsid w:val="000A22A0"/>
    <w:rsid w:val="000B04BE"/>
    <w:rsid w:val="000B4FEC"/>
    <w:rsid w:val="000C6E39"/>
    <w:rsid w:val="000D14EF"/>
    <w:rsid w:val="000D743B"/>
    <w:rsid w:val="000F29B4"/>
    <w:rsid w:val="001057EE"/>
    <w:rsid w:val="00110125"/>
    <w:rsid w:val="0015762A"/>
    <w:rsid w:val="0019523D"/>
    <w:rsid w:val="001B78C0"/>
    <w:rsid w:val="001D665C"/>
    <w:rsid w:val="001F4471"/>
    <w:rsid w:val="001F69D4"/>
    <w:rsid w:val="00216808"/>
    <w:rsid w:val="002A52EC"/>
    <w:rsid w:val="002C43C5"/>
    <w:rsid w:val="002D7492"/>
    <w:rsid w:val="002F4D28"/>
    <w:rsid w:val="00312CFE"/>
    <w:rsid w:val="00330AC3"/>
    <w:rsid w:val="00336624"/>
    <w:rsid w:val="0039370B"/>
    <w:rsid w:val="003B212D"/>
    <w:rsid w:val="003C3757"/>
    <w:rsid w:val="003E0918"/>
    <w:rsid w:val="003E0D86"/>
    <w:rsid w:val="003F4314"/>
    <w:rsid w:val="00422C2E"/>
    <w:rsid w:val="0042565E"/>
    <w:rsid w:val="00435933"/>
    <w:rsid w:val="00461DA0"/>
    <w:rsid w:val="00464E8D"/>
    <w:rsid w:val="00472349"/>
    <w:rsid w:val="00492B90"/>
    <w:rsid w:val="004B3A84"/>
    <w:rsid w:val="004C59B1"/>
    <w:rsid w:val="005530CF"/>
    <w:rsid w:val="00554A51"/>
    <w:rsid w:val="005954C6"/>
    <w:rsid w:val="006102E7"/>
    <w:rsid w:val="00633D80"/>
    <w:rsid w:val="0065316A"/>
    <w:rsid w:val="006613CD"/>
    <w:rsid w:val="00663646"/>
    <w:rsid w:val="00695B79"/>
    <w:rsid w:val="006A01FB"/>
    <w:rsid w:val="006B6436"/>
    <w:rsid w:val="006F13B6"/>
    <w:rsid w:val="00715273"/>
    <w:rsid w:val="00736574"/>
    <w:rsid w:val="00792416"/>
    <w:rsid w:val="007B1B15"/>
    <w:rsid w:val="007D6600"/>
    <w:rsid w:val="00822313"/>
    <w:rsid w:val="00843FFD"/>
    <w:rsid w:val="00845BA8"/>
    <w:rsid w:val="00852B20"/>
    <w:rsid w:val="00867848"/>
    <w:rsid w:val="008A7658"/>
    <w:rsid w:val="0094314E"/>
    <w:rsid w:val="00986D93"/>
    <w:rsid w:val="009B54F2"/>
    <w:rsid w:val="009C2944"/>
    <w:rsid w:val="009C352D"/>
    <w:rsid w:val="009F3099"/>
    <w:rsid w:val="009F5B5F"/>
    <w:rsid w:val="00A23499"/>
    <w:rsid w:val="00A40960"/>
    <w:rsid w:val="00A54DA3"/>
    <w:rsid w:val="00A768B4"/>
    <w:rsid w:val="00AF427B"/>
    <w:rsid w:val="00B25BD8"/>
    <w:rsid w:val="00B35CA3"/>
    <w:rsid w:val="00B4011B"/>
    <w:rsid w:val="00B534E2"/>
    <w:rsid w:val="00B95253"/>
    <w:rsid w:val="00BE2C9A"/>
    <w:rsid w:val="00C36AFC"/>
    <w:rsid w:val="00C47C74"/>
    <w:rsid w:val="00C500DB"/>
    <w:rsid w:val="00C9047C"/>
    <w:rsid w:val="00CA7AA4"/>
    <w:rsid w:val="00CC752A"/>
    <w:rsid w:val="00CE6C6E"/>
    <w:rsid w:val="00D035AF"/>
    <w:rsid w:val="00D503DD"/>
    <w:rsid w:val="00D708A9"/>
    <w:rsid w:val="00D7627D"/>
    <w:rsid w:val="00DB0B57"/>
    <w:rsid w:val="00DC081A"/>
    <w:rsid w:val="00DC1724"/>
    <w:rsid w:val="00DE00D4"/>
    <w:rsid w:val="00E060B3"/>
    <w:rsid w:val="00E20ADF"/>
    <w:rsid w:val="00E27178"/>
    <w:rsid w:val="00E510D7"/>
    <w:rsid w:val="00E63173"/>
    <w:rsid w:val="00EB7AE3"/>
    <w:rsid w:val="00ED2529"/>
    <w:rsid w:val="00EE1240"/>
    <w:rsid w:val="00EF7D7E"/>
    <w:rsid w:val="00F37E2D"/>
    <w:rsid w:val="00FF1788"/>
    <w:rsid w:val="04367644"/>
    <w:rsid w:val="05876466"/>
    <w:rsid w:val="0B23129E"/>
    <w:rsid w:val="0B2C6DE3"/>
    <w:rsid w:val="0FBC5063"/>
    <w:rsid w:val="107918F4"/>
    <w:rsid w:val="10E70644"/>
    <w:rsid w:val="110E4103"/>
    <w:rsid w:val="1920249A"/>
    <w:rsid w:val="1A511CF7"/>
    <w:rsid w:val="1C7C757D"/>
    <w:rsid w:val="1E337C51"/>
    <w:rsid w:val="1F4A7082"/>
    <w:rsid w:val="1FF539AC"/>
    <w:rsid w:val="2BC5226E"/>
    <w:rsid w:val="2C484285"/>
    <w:rsid w:val="2E1B1D77"/>
    <w:rsid w:val="3B302728"/>
    <w:rsid w:val="3D14143A"/>
    <w:rsid w:val="413530C7"/>
    <w:rsid w:val="450E35BB"/>
    <w:rsid w:val="4A764DCD"/>
    <w:rsid w:val="4C9F7145"/>
    <w:rsid w:val="4E8E1A97"/>
    <w:rsid w:val="553622A7"/>
    <w:rsid w:val="58F559D3"/>
    <w:rsid w:val="59112A81"/>
    <w:rsid w:val="655F4C96"/>
    <w:rsid w:val="65A23BA3"/>
    <w:rsid w:val="668B3DBB"/>
    <w:rsid w:val="6AB90ACD"/>
    <w:rsid w:val="70560B7A"/>
    <w:rsid w:val="70E20D1F"/>
    <w:rsid w:val="78D75005"/>
    <w:rsid w:val="7F2B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Char"/>
    <w:basedOn w:val="9"/>
    <w:link w:val="7"/>
    <w:autoRedefine/>
    <w:qFormat/>
    <w:uiPriority w:val="10"/>
    <w:rPr>
      <w:rFonts w:eastAsia="宋体" w:asciiTheme="majorHAnsi" w:hAnsiTheme="majorHAnsi" w:cstheme="majorBidi"/>
      <w:b/>
      <w:bCs/>
      <w:kern w:val="2"/>
      <w:sz w:val="32"/>
      <w:szCs w:val="32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91EE39-3963-4745-9BDA-D725684EEB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584</Words>
  <Characters>607</Characters>
  <Lines>3</Lines>
  <Paragraphs>1</Paragraphs>
  <TotalTime>99</TotalTime>
  <ScaleCrop>false</ScaleCrop>
  <LinksUpToDate>false</LinksUpToDate>
  <CharactersWithSpaces>614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2019-03-22T05:15:00Z</dcterms:created>
  <dc:creator>Windows User</dc:creator>
  <cp:lastModifiedBy>师江坤</cp:lastModifiedBy>
  <cp:lastPrinted>2020-03-20T11:24:00Z</cp:lastPrinted>
  <dcterms:modified xsi:type="dcterms:W3CDTF">2025-05-19T02:07:11Z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6DA8C43E2AAB43F581EBFC1CAADB7BBD_12</vt:lpwstr>
  </property>
  <property fmtid="{D5CDD505-2E9C-101B-9397-08002B2CF9AE}" pid="4" name="KSOTemplateDocerSaveRecord">
    <vt:lpwstr>eyJoZGlkIjoiNTU0ZmIwYTQ3NzlmZGUxZmU3Zjk0M2IyZTNmM2IxNjAiLCJ1c2VySWQiOiIzODU2NDkxODYifQ==</vt:lpwstr>
  </property>
</Properties>
</file>